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07"/>
        <w:gridCol w:w="4898"/>
      </w:tblGrid>
      <w:tr>
        <w:tc>
          <w:tcPr>
            <w:tcW w:type="dxa" w:w="53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300"/>
            </w:tcMar>
          </w:tcPr>
          <w:p>
            <w:pPr>
              <w:pBdr>
                <w:bottom w:val="single" w:color="000000" w:sz="4" w:space="1"/>
              </w:pBdr>
              <w:spacing w:after="0" w:before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  <w:p>
            <w:pPr>
              <w:spacing w:after="3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наименование организации</w:t>
            </w:r>
          </w:p>
          <w:p>
            <w:pPr>
              <w:pBdr>
                <w:bottom w:val="single" w:color="000000" w:sz="4" w:space="1"/>
              </w:pBdr>
              <w:spacing w:after="0" w:before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  <w:p>
            <w:pPr>
              <w:spacing w:after="3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структурное подразделение</w:t>
            </w:r>
          </w:p>
        </w:tc>
        <w:tc>
          <w:tcPr>
            <w:tcW w:type="dxa" w:w="48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УТВЕРЖДАЮ</w:t>
            </w:r>
          </w:p>
          <w:p>
            <w:pPr>
              <w:pBdr>
                <w:bottom w:val="single" w:color="000000" w:sz="4" w:space="1"/>
              </w:pBdr>
              <w:spacing w:after="0" w:before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  <w:p>
            <w:pPr>
              <w:spacing w:after="3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  <w:p>
            <w:pPr>
              <w:pBdr>
                <w:bottom w:val="single" w:color="000000" w:sz="4" w:space="1"/>
              </w:pBdr>
              <w:spacing w:after="0" w:before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  <w:p>
            <w:pPr>
              <w:spacing w:after="3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подпись, инициалы, фамилия</w:t>
            </w:r>
          </w:p>
          <w:p>
            <w:pPr>
              <w:spacing w:after="2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«____» ______________ 20___ г.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/>
                <w:iCs/>
                <w:sz w:val="18"/>
                <w:szCs w:val="18"/>
              </w:rPr>
              <w:t xml:space="preserve">М.П.</w:t>
            </w:r>
          </w:p>
        </w:tc>
      </w:tr>
    </w:tbl>
    <w:p>
      <w:pPr>
        <w:spacing w:after="0" w:before="200" w:lin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ДЕФЕКТНАЯ ВЕДОМОСТЬ №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__________</w:t>
      </w:r>
    </w:p>
    <w:p>
      <w:pPr>
        <w:spacing w:after="8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списание основного средства (материальных ценностей)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00"/>
        <w:gridCol w:w="7205"/>
      </w:tblGrid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Дата составления</w:t>
            </w:r>
          </w:p>
        </w:tc>
        <w:tc>
          <w:tcPr>
            <w:tcW w:type="dxa" w:w="7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Комиссия назначена</w:t>
            </w:r>
          </w:p>
        </w:tc>
        <w:tc>
          <w:tcPr>
            <w:tcW w:type="dxa" w:w="7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72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приказ (распоряжение) руководителя — номер, дата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Объект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0"/>
        <w:gridCol w:w="5605"/>
      </w:tblGrid>
      <w:tr>
        <w:trPr>
          <w:cantSplit/>
        </w:trP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Наименование</w:t>
            </w:r>
          </w:p>
        </w:tc>
        <w:tc>
          <w:tcPr>
            <w:tcW w:type="dxa" w:w="5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Модель, тип, изготовитель</w:t>
            </w:r>
          </w:p>
        </w:tc>
        <w:tc>
          <w:tcPr>
            <w:tcW w:type="dxa" w:w="5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Инвентарный номер</w:t>
            </w:r>
          </w:p>
        </w:tc>
        <w:tc>
          <w:tcPr>
            <w:tcW w:type="dxa" w:w="5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Заводской номер, год выпуска</w:t>
            </w:r>
          </w:p>
        </w:tc>
        <w:tc>
          <w:tcPr>
            <w:tcW w:type="dxa" w:w="5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Дата принятия к учёту (ввода в эксплуатацию)</w:t>
            </w:r>
          </w:p>
        </w:tc>
        <w:tc>
          <w:tcPr>
            <w:tcW w:type="dxa" w:w="5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Срок полезного использования / фактический срок эксплуатации</w:t>
            </w:r>
          </w:p>
        </w:tc>
        <w:tc>
          <w:tcPr>
            <w:tcW w:type="dxa" w:w="5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Место эксплуатации</w:t>
            </w:r>
          </w:p>
        </w:tc>
        <w:tc>
          <w:tcPr>
            <w:tcW w:type="dxa" w:w="5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Материально ответственное лицо</w:t>
            </w:r>
          </w:p>
        </w:tc>
        <w:tc>
          <w:tcPr>
            <w:tcW w:type="dxa" w:w="5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Ремонты и отказы за период эксплуатации</w:t>
      </w:r>
    </w:p>
    <w:p>
      <w:pPr>
        <w:spacing w:after="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16"/>
          <w:szCs w:val="16"/>
        </w:rPr>
        <w:t xml:space="preserve">по журналу ремонтов, паспорту, актам приёмки из ремонта; если ремонтов не было — «не проводились»</w:t>
      </w:r>
    </w:p>
    <w:tbl>
      <w:tblPr>
        <w:tblW w:type="dxa" w:w="1020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1400"/>
        <w:gridCol w:w="2600"/>
        <w:gridCol w:w="3900"/>
        <w:gridCol w:w="2305"/>
      </w:tblGrid>
      <w:tr>
        <w:trPr>
          <w:cantSplit/>
          <w:tblHeader w:val="false"/>
        </w:trPr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Дата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Вид ремонта или отказ</w:t>
            </w:r>
          </w:p>
        </w:tc>
        <w:tc>
          <w:tcPr>
            <w:tcW w:type="dxa" w:w="3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Что выполнено (заменено)</w:t>
            </w:r>
          </w:p>
        </w:tc>
        <w:tc>
          <w:tcPr>
            <w:tcW w:type="dxa" w:w="23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Документ (номер, дата)</w:t>
            </w:r>
          </w:p>
        </w:tc>
      </w:tr>
      <w:tr>
        <w:trPr>
          <w:cantSplit/>
          <w:trHeight w:val="380" w:hRule="atLeast"/>
        </w:trPr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3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3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3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Методы и средства контроля</w:t>
      </w:r>
    </w:p>
    <w:p>
      <w:pPr>
        <w:spacing w:after="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16"/>
          <w:szCs w:val="16"/>
        </w:rPr>
        <w:t xml:space="preserve">осмотр, разборка, измерения, диагностика, испытания; средства измерений; заключение сервисной организации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5"/>
      </w:tblGrid>
      <w:tr>
        <w:trPr>
          <w:trHeight w:val="380" w:hRule="atLeast"/>
        </w:trPr>
        <w:tc>
          <w:tcPr>
            <w:tcW w:type="dxa" w:w="10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Техническое состояние</w:t>
      </w:r>
    </w:p>
    <w:tbl>
      <w:tblPr>
        <w:tblW w:type="dxa" w:w="1020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450"/>
        <w:gridCol w:w="2400"/>
        <w:gridCol w:w="3300"/>
        <w:gridCol w:w="1900"/>
        <w:gridCol w:w="2155"/>
      </w:tblGrid>
      <w:tr>
        <w:trPr>
          <w:cantSplit/>
          <w:tblHeader w:val="false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Узел, деталь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Дефект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Норма / фактически</w:t>
            </w:r>
          </w:p>
        </w:tc>
        <w:tc>
          <w:tcPr>
            <w:tcW w:type="dxa" w:w="21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Устранимость: устранимый / неустранимый</w:t>
            </w:r>
          </w:p>
        </w:tc>
      </w:tr>
      <w:tr>
        <w:trPr>
          <w:cantSplit/>
          <w:trHeight w:val="38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</w:t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Причина выхода из строя</w:t>
      </w:r>
    </w:p>
    <w:p>
      <w:pPr>
        <w:spacing w:after="60" w:before="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физический износ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☐ моральный износ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☐ авария, поломка</w:t>
      </w:r>
    </w:p>
    <w:p>
      <w:pPr>
        <w:spacing w:after="60" w:before="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нарушение условий эксплуатации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☐ иное</w:t>
      </w:r>
    </w:p>
    <w:p>
      <w:pPr>
        <w:spacing w:after="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16"/>
          <w:szCs w:val="16"/>
        </w:rPr>
        <w:t xml:space="preserve">при аварии или повреждении — номер и дата акта расследования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5"/>
      </w:tblGrid>
      <w:tr>
        <w:trPr>
          <w:trHeight w:val="380" w:hRule="atLeast"/>
        </w:trPr>
        <w:tc>
          <w:tcPr>
            <w:tcW w:type="dxa" w:w="10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Оценка целесообразности восстановления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0"/>
        <w:gridCol w:w="5605"/>
      </w:tblGrid>
      <w:tr>
        <w:trPr>
          <w:cantSplit/>
        </w:trP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Стоимость восстановительного ремонта, руб.</w:t>
            </w:r>
          </w:p>
        </w:tc>
        <w:tc>
          <w:tcPr>
            <w:tcW w:type="dxa" w:w="5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5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источник: смета, коммерческое предложение подрядчика</w:t>
            </w:r>
          </w:p>
        </w:tc>
      </w:tr>
      <w:tr>
        <w:trPr>
          <w:cantSplit/>
        </w:trP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Стоимость нового аналога, руб.</w:t>
            </w:r>
          </w:p>
        </w:tc>
        <w:tc>
          <w:tcPr>
            <w:tcW w:type="dxa" w:w="5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5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источник: коммерческое предложение, прайс-лист — дата</w:t>
            </w:r>
          </w:p>
        </w:tc>
      </w:tr>
      <w:tr>
        <w:trPr>
          <w:cantSplit/>
        </w:trP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Стоимость ремонта от цены аналога, %</w:t>
            </w:r>
          </w:p>
        </w:tc>
        <w:tc>
          <w:tcPr>
            <w:tcW w:type="dxa" w:w="5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Ожидаемый ресурс после ремонта</w:t>
            </w:r>
          </w:p>
        </w:tc>
        <w:tc>
          <w:tcPr>
            <w:tcW w:type="dxa" w:w="5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Остаточная стоимость, руб.</w:t>
            </w:r>
          </w:p>
        </w:tc>
        <w:tc>
          <w:tcPr>
            <w:tcW w:type="dxa" w:w="5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5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по данным бухгалтерии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Заключение комиссии</w:t>
      </w:r>
    </w:p>
    <w:p>
      <w:pPr>
        <w:spacing w:after="60" w:before="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объект не пригоден к дальнейшей эксплуатации, восстановление невозможно</w:t>
      </w:r>
    </w:p>
    <w:p>
      <w:pPr>
        <w:spacing w:after="60" w:before="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восстановление экономически нецелесообразно</w:t>
      </w:r>
    </w:p>
    <w:p>
      <w:pPr>
        <w:spacing w:after="60" w:before="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объект морально устарел и не может использоваться по назначению</w:t>
      </w:r>
    </w:p>
    <w:p>
      <w:pPr>
        <w:spacing w:after="0" w:before="4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Объект не способен приносить экономические выгоды; комиссия рекомендует его списать.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5"/>
      </w:tblGrid>
      <w:tr>
        <w:trPr>
          <w:trHeight w:val="380" w:hRule="atLeast"/>
        </w:trPr>
        <w:tc>
          <w:tcPr>
            <w:tcW w:type="dxa" w:w="10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Детали и материалы от разборки</w:t>
      </w:r>
    </w:p>
    <w:p>
      <w:pPr>
        <w:spacing w:after="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16"/>
          <w:szCs w:val="16"/>
        </w:rPr>
        <w:t xml:space="preserve">детали, годные для ремонта другого оборудования; металлолом; драгоценные металлы — по данным паспорта</w:t>
      </w:r>
    </w:p>
    <w:tbl>
      <w:tblPr>
        <w:tblW w:type="dxa" w:w="1020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450"/>
        <w:gridCol w:w="4300"/>
        <w:gridCol w:w="1000"/>
        <w:gridCol w:w="1000"/>
        <w:gridCol w:w="3455"/>
      </w:tblGrid>
      <w:tr>
        <w:trPr>
          <w:cantSplit/>
          <w:tblHeader w:val="false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Наименование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Кол-во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Ед. изм.</w:t>
            </w:r>
          </w:p>
        </w:tc>
        <w:tc>
          <w:tcPr>
            <w:tcW w:type="dxa" w:w="34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Предложение: оприходовать / сдать в лом / утилизировать</w:t>
            </w:r>
          </w:p>
        </w:tc>
      </w:tr>
      <w:tr>
        <w:trPr>
          <w:cantSplit/>
          <w:trHeight w:val="36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4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4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36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4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4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36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4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4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Приложения</w:t>
      </w:r>
    </w:p>
    <w:p>
      <w:pPr>
        <w:spacing w:after="60" w:before="0" w:line="240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☐ фото объекта и дефектов    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☐ протоколы измерений, диагностики    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☐ КП на новый аналог</w:t>
      </w:r>
    </w:p>
    <w:p>
      <w:pPr>
        <w:spacing w:after="60" w:before="0" w:line="240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☐ заключение сервисной организации    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☐ акт расследования аварии    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☐ иное ____________</w:t>
      </w:r>
    </w:p>
    <w:p>
      <w:pPr>
        <w:keepNext/>
        <w:spacing w:after="60" w:before="10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Члены комиссии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00"/>
        <w:gridCol w:w="2300"/>
        <w:gridCol w:w="1700"/>
        <w:gridCol w:w="2000"/>
        <w:gridCol w:w="1205"/>
      </w:tblGrid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Председатель комиссии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инициалы, фамилия</w:t>
            </w:r>
          </w:p>
        </w:tc>
        <w:tc>
          <w:tcPr>
            <w:tcW w:type="dxa" w:w="12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дата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Члены комиссии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инициалы, фамилия</w:t>
            </w:r>
          </w:p>
        </w:tc>
        <w:tc>
          <w:tcPr>
            <w:tcW w:type="dxa" w:w="12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дата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инициалы, фамилия</w:t>
            </w:r>
          </w:p>
        </w:tc>
        <w:tc>
          <w:tcPr>
            <w:tcW w:type="dxa" w:w="12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дата</w:t>
            </w:r>
          </w:p>
        </w:tc>
      </w:tr>
    </w:tbl>
    <w:p>
      <w:pPr>
        <w:spacing w:after="60" w:before="120" w:line="240"/>
        <w:jc w:val="left"/>
      </w:pPr>
      <w:r>
        <w:rPr>
          <w:rFonts w:ascii="Times New Roman" w:cs="Times New Roman" w:eastAsia="Times New Roman" w:hAnsi="Times New Roman"/>
          <w:i/>
          <w:iCs/>
          <w:sz w:val="16"/>
          <w:szCs w:val="16"/>
        </w:rPr>
        <w:t xml:space="preserve">На основании ведомости составляется акт о списании (форма ОС-4 или форма, утверждённая учётной политикой). Государственные (муниципальные) учреждения оформляют списание по формам приказа Минфина России № 61н (0510440, 0510454 и др.).</w:t>
      </w:r>
    </w:p>
    <w:sectPr>
      <w:footerReference w:type="default" r:id="rId7"/>
      <w:pgSz w:w="11906" w:h="16838" w:orient="portrait"/>
      <w:pgMar w:top="1134" w:right="567" w:bottom="1134" w:left="1134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99999" w:sz="4" w:space="2"/>
      </w:pBdr>
      <w:spacing w:after="0" w:before="0"/>
      <w:jc w:val="left"/>
      <w:rPr>
        <w:rFonts w:ascii="Times New Roman" w:cs="Times New Roman" w:eastAsia="Times New Roman" w:hAnsi="Times New Roman"/>
        <w:sz w:val="16"/>
        <w:szCs w:val="16"/>
      </w:rPr>
    </w:pPr>
    <w:r>
      <w:rPr>
        <w:rFonts w:ascii="Times New Roman" w:cs="Times New Roman" w:eastAsia="Times New Roman" w:hAnsi="Times New Roman"/>
        <w:sz w:val="16"/>
        <w:szCs w:val="16"/>
      </w:rPr>
      <w:t xml:space="preserve">Дефектная ведомость на списание № __________   ·   Лист </w:t>
    </w:r>
    <w:r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PAGE</w:instrText>
      <w:fldChar w:fldCharType="separate"/>
    </w:r>
    <w:r>
      <w:rPr>
        <w:rFonts w:ascii="Times New Roman" w:cs="Times New Roman" w:eastAsia="Times New Roman" w:hAnsi="Times New Roman"/>
        <w:sz w:val="16"/>
        <w:szCs w:val="16"/>
      </w:rPr>
      <w:t>1</w:t>
    </w:r>
    <w:r>
      <w:rPr>
        <w:rFonts w:ascii="Times New Roman" w:cs="Times New Roman" w:eastAsia="Times New Roman" w:hAnsi="Times New Roman"/>
        <w:sz w:val="16"/>
        <w:szCs w:val="16"/>
      </w:rPr>
      <w:fldChar w:fldCharType="end"/>
    </w:r>
    <w:r>
      <w:rPr>
        <w:rFonts w:ascii="Times New Roman" w:cs="Times New Roman" w:eastAsia="Times New Roman" w:hAnsi="Times New Roman"/>
        <w:sz w:val="16"/>
        <w:szCs w:val="16"/>
      </w:rPr>
      <w:t xml:space="preserve"> из </w:t>
    </w:r>
    <w:r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NUMPAGES</w:instrText>
      <w:fldChar w:fldCharType="separate"/>
    </w:r>
    <w:r>
      <w:rPr>
        <w:rFonts w:ascii="Times New Roman" w:cs="Times New Roman" w:eastAsia="Times New Roman" w:hAnsi="Times New Roman"/>
        <w:sz w:val="16"/>
        <w:szCs w:val="16"/>
      </w:rPr>
      <w:t>1</w:t>
    </w:r>
    <w:r>
      <w:rPr>
        <w:rFonts w:ascii="Times New Roman" w:cs="Times New Roman" w:eastAsia="Times New Roman" w:hAnsi="Times New Roman"/>
        <w:sz w:val="16"/>
        <w:szCs w:val="16"/>
      </w:rPr>
      <w:fldChar w:fldCharType="end"/>
    </w:r>
  </w:p>
  <w:p>
    <w:pPr>
      <w:spacing w:after="0" w:before="0"/>
    </w:pPr>
    <w:r>
      <w:rPr>
        <w:rFonts w:ascii="Times New Roman" w:cs="Times New Roman" w:eastAsia="Times New Roman" w:hAnsi="Times New Roman"/>
        <w:i/>
        <w:iCs/>
        <w:color w:val="555555"/>
        <w:sz w:val="14"/>
        <w:szCs w:val="14"/>
      </w:rPr>
      <w:t xml:space="preserve">Форма разработана inner.su. Унифицированной формы нет, форму утверждает организация. Ведомость обосновывает решение комиссии; списание оформляется актом. Основания списания — п. 40 ФСБУ 6/2020.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 на списание основного средства</dc:title>
  <dc:creator>inner.su</dc:creator>
  <dc:description>Бланк inner.su</dc:description>
  <cp:lastModifiedBy>Un-named</cp:lastModifiedBy>
  <cp:revision>1</cp:revision>
  <dcterms:created xsi:type="dcterms:W3CDTF">2026-09-28T13:55:36.530Z</dcterms:created>
  <dcterms:modified xsi:type="dcterms:W3CDTF">2026-09-28T13:55:36.531Z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